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71" w:rsidRPr="003B7B67" w:rsidRDefault="009F6957" w:rsidP="003D602F">
      <w:pPr>
        <w:ind w:left="360"/>
        <w:rPr>
          <w:rFonts w:ascii="Arial" w:hAnsi="Arial" w:cs="Arial"/>
          <w:sz w:val="52"/>
          <w:szCs w:val="52"/>
        </w:rPr>
      </w:pPr>
      <w:bookmarkStart w:id="0" w:name="_GoBack"/>
      <w:bookmarkEnd w:id="0"/>
      <w:r w:rsidRPr="003B7B67">
        <w:rPr>
          <w:rFonts w:ascii="Arial" w:hAnsi="Arial" w:cs="Arial"/>
          <w:sz w:val="52"/>
          <w:szCs w:val="52"/>
        </w:rPr>
        <w:t xml:space="preserve">The 10 </w:t>
      </w:r>
      <w:r w:rsidR="008B0C71" w:rsidRPr="003B7B67">
        <w:rPr>
          <w:rFonts w:ascii="Arial" w:hAnsi="Arial" w:cs="Arial"/>
          <w:sz w:val="52"/>
          <w:szCs w:val="52"/>
        </w:rPr>
        <w:t>Benchmarks</w:t>
      </w:r>
      <w:r w:rsidRPr="003B7B67">
        <w:rPr>
          <w:rFonts w:ascii="Arial" w:hAnsi="Arial" w:cs="Arial"/>
          <w:sz w:val="52"/>
          <w:szCs w:val="52"/>
        </w:rPr>
        <w:t xml:space="preserve"> of Oracy </w:t>
      </w:r>
      <w:r w:rsidR="008B0C71" w:rsidRPr="003B7B67">
        <w:rPr>
          <w:rFonts w:ascii="Arial" w:hAnsi="Arial" w:cs="Arial"/>
          <w:sz w:val="52"/>
          <w:szCs w:val="52"/>
        </w:rPr>
        <w:t xml:space="preserve"> </w:t>
      </w:r>
    </w:p>
    <w:p w:rsidR="006E1F5E" w:rsidRPr="003B7B67" w:rsidRDefault="006E1F5E" w:rsidP="003D602F">
      <w:pPr>
        <w:ind w:left="360"/>
        <w:rPr>
          <w:rFonts w:ascii="Arial" w:hAnsi="Arial" w:cs="Arial"/>
          <w:sz w:val="24"/>
          <w:szCs w:val="24"/>
        </w:rPr>
      </w:pPr>
      <w:r w:rsidRPr="003B7B67">
        <w:rPr>
          <w:rFonts w:ascii="Arial" w:hAnsi="Arial" w:cs="Arial"/>
          <w:sz w:val="24"/>
          <w:szCs w:val="24"/>
        </w:rPr>
        <w:t>Score each of the Benchmark statements as follows:</w:t>
      </w:r>
    </w:p>
    <w:p w:rsidR="006E1F5E" w:rsidRPr="003B7B67" w:rsidRDefault="006E1F5E" w:rsidP="006E1F5E">
      <w:pPr>
        <w:pStyle w:val="ListParagraph"/>
        <w:numPr>
          <w:ilvl w:val="0"/>
          <w:numId w:val="36"/>
        </w:numPr>
        <w:rPr>
          <w:rFonts w:ascii="Arial" w:hAnsi="Arial" w:cs="Arial"/>
          <w:b/>
          <w:sz w:val="32"/>
          <w:szCs w:val="32"/>
        </w:rPr>
      </w:pPr>
      <w:r w:rsidRPr="003B7B67">
        <w:rPr>
          <w:rFonts w:ascii="Arial" w:hAnsi="Arial" w:cs="Arial"/>
          <w:sz w:val="24"/>
          <w:szCs w:val="24"/>
        </w:rPr>
        <w:t xml:space="preserve">Not met (there is no evidence of this Benchmark in my school) </w:t>
      </w:r>
      <w:r w:rsidRPr="003B7B67">
        <w:rPr>
          <w:rFonts w:ascii="Arial" w:hAnsi="Arial" w:cs="Arial"/>
          <w:b/>
          <w:sz w:val="32"/>
          <w:szCs w:val="32"/>
        </w:rPr>
        <w:t>= 1</w:t>
      </w:r>
    </w:p>
    <w:p w:rsidR="006E1F5E" w:rsidRPr="003B7B67" w:rsidRDefault="006E1F5E" w:rsidP="006E1F5E">
      <w:pPr>
        <w:pStyle w:val="ListParagraph"/>
        <w:numPr>
          <w:ilvl w:val="0"/>
          <w:numId w:val="36"/>
        </w:numPr>
        <w:rPr>
          <w:rFonts w:ascii="Arial" w:hAnsi="Arial" w:cs="Arial"/>
          <w:b/>
          <w:sz w:val="32"/>
          <w:szCs w:val="32"/>
        </w:rPr>
      </w:pPr>
      <w:r w:rsidRPr="003B7B67">
        <w:rPr>
          <w:rFonts w:ascii="Arial" w:hAnsi="Arial" w:cs="Arial"/>
          <w:sz w:val="24"/>
          <w:szCs w:val="24"/>
        </w:rPr>
        <w:t xml:space="preserve">Partially met (there is some evidence of this Benchmark in my school but it is not fully developed/consistent) </w:t>
      </w:r>
      <w:r w:rsidRPr="003B7B67">
        <w:rPr>
          <w:rFonts w:ascii="Arial" w:hAnsi="Arial" w:cs="Arial"/>
          <w:b/>
          <w:sz w:val="32"/>
          <w:szCs w:val="32"/>
        </w:rPr>
        <w:t>= 2</w:t>
      </w:r>
    </w:p>
    <w:p w:rsidR="006E1F5E" w:rsidRPr="003B7B67" w:rsidRDefault="006E1F5E" w:rsidP="006E1F5E">
      <w:pPr>
        <w:pStyle w:val="ListParagraph"/>
        <w:numPr>
          <w:ilvl w:val="0"/>
          <w:numId w:val="36"/>
        </w:numPr>
        <w:rPr>
          <w:rFonts w:ascii="Arial" w:hAnsi="Arial" w:cs="Arial"/>
          <w:b/>
          <w:sz w:val="32"/>
          <w:szCs w:val="32"/>
        </w:rPr>
      </w:pPr>
      <w:r w:rsidRPr="003B7B67">
        <w:rPr>
          <w:rFonts w:ascii="Arial" w:hAnsi="Arial" w:cs="Arial"/>
          <w:sz w:val="24"/>
          <w:szCs w:val="24"/>
        </w:rPr>
        <w:t xml:space="preserve">Met (the statement describes the practice in my school) </w:t>
      </w:r>
      <w:r w:rsidRPr="003B7B67">
        <w:rPr>
          <w:rFonts w:ascii="Arial" w:hAnsi="Arial" w:cs="Arial"/>
          <w:b/>
          <w:sz w:val="32"/>
          <w:szCs w:val="32"/>
        </w:rPr>
        <w:t>=3</w:t>
      </w:r>
    </w:p>
    <w:p w:rsidR="006E1F5E" w:rsidRPr="003B7B67" w:rsidRDefault="006E1F5E" w:rsidP="006E1F5E">
      <w:pPr>
        <w:pStyle w:val="ListParagraph"/>
        <w:ind w:left="1080"/>
        <w:rPr>
          <w:rFonts w:ascii="Arial" w:hAnsi="Arial" w:cs="Arial"/>
          <w:b/>
          <w:sz w:val="32"/>
          <w:szCs w:val="32"/>
        </w:rPr>
      </w:pPr>
    </w:p>
    <w:p w:rsidR="00964A47" w:rsidRPr="003B7B67" w:rsidRDefault="00964A47" w:rsidP="003D602F">
      <w:pPr>
        <w:pStyle w:val="ListParagraph"/>
        <w:numPr>
          <w:ilvl w:val="0"/>
          <w:numId w:val="12"/>
        </w:numPr>
        <w:rPr>
          <w:rFonts w:ascii="Arial" w:hAnsi="Arial" w:cs="Arial"/>
          <w:b/>
          <w:sz w:val="24"/>
          <w:szCs w:val="24"/>
        </w:rPr>
      </w:pPr>
      <w:r w:rsidRPr="003B7B67">
        <w:rPr>
          <w:rFonts w:ascii="Arial" w:hAnsi="Arial" w:cs="Arial"/>
          <w:b/>
          <w:sz w:val="24"/>
          <w:szCs w:val="24"/>
        </w:rPr>
        <w:t>Oracy is explicitly &amp; deliberately taught</w:t>
      </w:r>
    </w:p>
    <w:p w:rsidR="009F6957" w:rsidRPr="003B7B67" w:rsidRDefault="009F6957" w:rsidP="00FC4BD0">
      <w:pPr>
        <w:pStyle w:val="ListParagraph"/>
        <w:numPr>
          <w:ilvl w:val="0"/>
          <w:numId w:val="24"/>
        </w:numPr>
        <w:rPr>
          <w:rFonts w:ascii="Arial" w:hAnsi="Arial" w:cs="Arial"/>
          <w:sz w:val="24"/>
          <w:szCs w:val="24"/>
        </w:rPr>
      </w:pPr>
      <w:r w:rsidRPr="003B7B67">
        <w:rPr>
          <w:rFonts w:ascii="Arial" w:hAnsi="Arial" w:cs="Arial"/>
          <w:sz w:val="24"/>
          <w:szCs w:val="24"/>
        </w:rPr>
        <w:t>The school uses a comprehensive, intentional, and proactive approach to the development of speaking and listening skills</w:t>
      </w:r>
    </w:p>
    <w:p w:rsidR="003D602F" w:rsidRPr="003B7B67" w:rsidRDefault="003D602F" w:rsidP="00FC4BD0">
      <w:pPr>
        <w:pStyle w:val="ListParagraph"/>
        <w:numPr>
          <w:ilvl w:val="0"/>
          <w:numId w:val="24"/>
        </w:numPr>
        <w:rPr>
          <w:rFonts w:ascii="Arial" w:hAnsi="Arial" w:cs="Arial"/>
          <w:sz w:val="24"/>
          <w:szCs w:val="24"/>
        </w:rPr>
      </w:pPr>
      <w:r w:rsidRPr="003B7B67">
        <w:rPr>
          <w:rFonts w:ascii="Arial" w:hAnsi="Arial" w:cs="Arial"/>
          <w:sz w:val="24"/>
          <w:szCs w:val="24"/>
        </w:rPr>
        <w:t>The school has a plan for oracy education</w:t>
      </w:r>
    </w:p>
    <w:p w:rsidR="00184920" w:rsidRPr="003B7B67" w:rsidRDefault="003E7F9F" w:rsidP="00FC4BD0">
      <w:pPr>
        <w:pStyle w:val="ListParagraph"/>
        <w:numPr>
          <w:ilvl w:val="0"/>
          <w:numId w:val="24"/>
        </w:numPr>
        <w:rPr>
          <w:rFonts w:ascii="Arial" w:hAnsi="Arial" w:cs="Arial"/>
          <w:sz w:val="24"/>
          <w:szCs w:val="24"/>
        </w:rPr>
      </w:pPr>
      <w:r w:rsidRPr="003B7B67">
        <w:rPr>
          <w:rFonts w:ascii="Arial" w:hAnsi="Arial" w:cs="Arial"/>
          <w:sz w:val="24"/>
          <w:szCs w:val="24"/>
        </w:rPr>
        <w:t>Individual teachers, teams, and the staff as a whole participate in planning for oracy</w:t>
      </w:r>
    </w:p>
    <w:p w:rsidR="00FC4BD0" w:rsidRPr="003B7B67" w:rsidRDefault="003D602F" w:rsidP="00FC4BD0">
      <w:pPr>
        <w:pStyle w:val="ListParagraph"/>
        <w:numPr>
          <w:ilvl w:val="0"/>
          <w:numId w:val="24"/>
        </w:numPr>
        <w:rPr>
          <w:rFonts w:ascii="Arial" w:hAnsi="Arial" w:cs="Arial"/>
          <w:sz w:val="24"/>
          <w:szCs w:val="24"/>
        </w:rPr>
      </w:pPr>
      <w:r w:rsidRPr="003B7B67">
        <w:rPr>
          <w:rFonts w:ascii="Arial" w:hAnsi="Arial" w:cs="Arial"/>
          <w:sz w:val="24"/>
          <w:szCs w:val="24"/>
        </w:rPr>
        <w:t>The school has dedicated time for the tea</w:t>
      </w:r>
      <w:r w:rsidR="00184920" w:rsidRPr="003B7B67">
        <w:rPr>
          <w:rFonts w:ascii="Arial" w:hAnsi="Arial" w:cs="Arial"/>
          <w:sz w:val="24"/>
          <w:szCs w:val="24"/>
        </w:rPr>
        <w:t>ching of oracy</w:t>
      </w:r>
    </w:p>
    <w:p w:rsidR="00962204" w:rsidRPr="003B7B67" w:rsidRDefault="00962204" w:rsidP="00962204">
      <w:pPr>
        <w:pStyle w:val="ListParagraph"/>
        <w:ind w:left="1080"/>
        <w:rPr>
          <w:rFonts w:ascii="Arial" w:hAnsi="Arial" w:cs="Arial"/>
          <w:sz w:val="24"/>
          <w:szCs w:val="24"/>
        </w:rPr>
      </w:pPr>
    </w:p>
    <w:p w:rsidR="00964A47" w:rsidRPr="003B7B67" w:rsidRDefault="00964A47" w:rsidP="003D602F">
      <w:pPr>
        <w:pStyle w:val="ListParagraph"/>
        <w:numPr>
          <w:ilvl w:val="0"/>
          <w:numId w:val="12"/>
        </w:numPr>
        <w:rPr>
          <w:rFonts w:ascii="Arial" w:hAnsi="Arial" w:cs="Arial"/>
          <w:b/>
          <w:sz w:val="24"/>
          <w:szCs w:val="24"/>
        </w:rPr>
      </w:pPr>
      <w:r w:rsidRPr="003B7B67">
        <w:rPr>
          <w:rFonts w:ascii="Arial" w:hAnsi="Arial" w:cs="Arial"/>
          <w:b/>
          <w:sz w:val="24"/>
          <w:szCs w:val="24"/>
        </w:rPr>
        <w:t>Oracy is taught comprehensively and consistently across the school</w:t>
      </w:r>
    </w:p>
    <w:p w:rsidR="003D602F" w:rsidRPr="003B7B67" w:rsidRDefault="00962204" w:rsidP="00FC4BD0">
      <w:pPr>
        <w:pStyle w:val="ListParagraph"/>
        <w:numPr>
          <w:ilvl w:val="0"/>
          <w:numId w:val="25"/>
        </w:numPr>
        <w:rPr>
          <w:rFonts w:ascii="Arial" w:hAnsi="Arial" w:cs="Arial"/>
          <w:sz w:val="24"/>
          <w:szCs w:val="24"/>
        </w:rPr>
      </w:pPr>
      <w:r w:rsidRPr="003B7B67">
        <w:rPr>
          <w:rFonts w:ascii="Arial" w:hAnsi="Arial" w:cs="Arial"/>
          <w:sz w:val="24"/>
          <w:szCs w:val="24"/>
        </w:rPr>
        <w:t>Teachers use shared language and framework to teach oracy</w:t>
      </w:r>
    </w:p>
    <w:p w:rsidR="003D602F" w:rsidRPr="003B7B67" w:rsidRDefault="00184920" w:rsidP="00FC4BD0">
      <w:pPr>
        <w:pStyle w:val="ListParagraph"/>
        <w:numPr>
          <w:ilvl w:val="0"/>
          <w:numId w:val="25"/>
        </w:numPr>
        <w:rPr>
          <w:rFonts w:ascii="Arial" w:hAnsi="Arial" w:cs="Arial"/>
          <w:sz w:val="24"/>
          <w:szCs w:val="24"/>
        </w:rPr>
      </w:pPr>
      <w:r w:rsidRPr="003B7B67">
        <w:rPr>
          <w:rFonts w:ascii="Arial" w:hAnsi="Arial" w:cs="Arial"/>
          <w:sz w:val="24"/>
          <w:szCs w:val="24"/>
        </w:rPr>
        <w:t>Oracy is infused throughout the school day in classes,</w:t>
      </w:r>
      <w:r w:rsidR="00962204" w:rsidRPr="003B7B67">
        <w:rPr>
          <w:rFonts w:ascii="Arial" w:hAnsi="Arial" w:cs="Arial"/>
          <w:sz w:val="24"/>
          <w:szCs w:val="24"/>
        </w:rPr>
        <w:t xml:space="preserve"> assemblies, school events and extra-</w:t>
      </w:r>
      <w:r w:rsidR="003D602F" w:rsidRPr="003B7B67">
        <w:rPr>
          <w:rFonts w:ascii="Arial" w:hAnsi="Arial" w:cs="Arial"/>
          <w:sz w:val="24"/>
          <w:szCs w:val="24"/>
        </w:rPr>
        <w:t>curricular activities</w:t>
      </w:r>
    </w:p>
    <w:p w:rsidR="003149BD" w:rsidRPr="003B7B67" w:rsidRDefault="003149BD" w:rsidP="003149BD">
      <w:pPr>
        <w:pStyle w:val="ListParagraph"/>
        <w:numPr>
          <w:ilvl w:val="0"/>
          <w:numId w:val="25"/>
        </w:numPr>
        <w:rPr>
          <w:rFonts w:ascii="Arial" w:hAnsi="Arial" w:cs="Arial"/>
          <w:sz w:val="24"/>
          <w:szCs w:val="24"/>
        </w:rPr>
      </w:pPr>
      <w:r w:rsidRPr="003B7B67">
        <w:rPr>
          <w:rFonts w:ascii="Arial" w:hAnsi="Arial" w:cs="Arial"/>
          <w:sz w:val="24"/>
          <w:szCs w:val="24"/>
        </w:rPr>
        <w:t>Teachers demonstrate a thorough understanding of the Oracy Framework</w:t>
      </w:r>
    </w:p>
    <w:p w:rsidR="006E1F5E" w:rsidRPr="003B7B67" w:rsidRDefault="003149BD" w:rsidP="008E608D">
      <w:pPr>
        <w:pStyle w:val="ListParagraph"/>
        <w:numPr>
          <w:ilvl w:val="0"/>
          <w:numId w:val="25"/>
        </w:numPr>
        <w:rPr>
          <w:rFonts w:ascii="Arial" w:hAnsi="Arial" w:cs="Arial"/>
          <w:sz w:val="24"/>
          <w:szCs w:val="24"/>
        </w:rPr>
      </w:pPr>
      <w:r w:rsidRPr="003B7B67">
        <w:rPr>
          <w:rFonts w:ascii="Arial" w:hAnsi="Arial" w:cs="Arial"/>
          <w:sz w:val="24"/>
          <w:szCs w:val="24"/>
        </w:rPr>
        <w:t>Students demonstrate a thorough understanding of the Oracy Framework</w:t>
      </w:r>
    </w:p>
    <w:p w:rsidR="003149BD" w:rsidRPr="003B7B67" w:rsidRDefault="003149BD" w:rsidP="003149BD">
      <w:pPr>
        <w:pStyle w:val="ListParagraph"/>
        <w:ind w:left="1080"/>
        <w:rPr>
          <w:rFonts w:ascii="Arial" w:hAnsi="Arial" w:cs="Arial"/>
          <w:sz w:val="24"/>
          <w:szCs w:val="24"/>
        </w:rPr>
      </w:pPr>
    </w:p>
    <w:p w:rsidR="00964A47" w:rsidRPr="003B7B67" w:rsidRDefault="00964A47" w:rsidP="003D602F">
      <w:pPr>
        <w:pStyle w:val="ListParagraph"/>
        <w:numPr>
          <w:ilvl w:val="0"/>
          <w:numId w:val="12"/>
        </w:numPr>
        <w:rPr>
          <w:rFonts w:ascii="Arial" w:hAnsi="Arial" w:cs="Arial"/>
          <w:b/>
          <w:sz w:val="24"/>
          <w:szCs w:val="24"/>
        </w:rPr>
      </w:pPr>
      <w:r w:rsidRPr="003B7B67">
        <w:rPr>
          <w:rFonts w:ascii="Arial" w:hAnsi="Arial" w:cs="Arial"/>
          <w:b/>
          <w:sz w:val="24"/>
          <w:szCs w:val="24"/>
        </w:rPr>
        <w:t>Staff model good oracy in their teaching and interactions with students and colleagues</w:t>
      </w:r>
    </w:p>
    <w:p w:rsidR="00184920" w:rsidRPr="003B7B67" w:rsidRDefault="00184920" w:rsidP="00EE1E79">
      <w:pPr>
        <w:pStyle w:val="ListParagraph"/>
        <w:numPr>
          <w:ilvl w:val="0"/>
          <w:numId w:val="28"/>
        </w:numPr>
        <w:rPr>
          <w:rFonts w:ascii="Arial" w:hAnsi="Arial" w:cs="Arial"/>
          <w:sz w:val="24"/>
          <w:szCs w:val="24"/>
        </w:rPr>
      </w:pPr>
      <w:r w:rsidRPr="003B7B67">
        <w:rPr>
          <w:rFonts w:ascii="Arial" w:hAnsi="Arial" w:cs="Arial"/>
          <w:sz w:val="24"/>
          <w:szCs w:val="24"/>
        </w:rPr>
        <w:t xml:space="preserve">Staff model the good oracy in their interactions with students and each other </w:t>
      </w:r>
    </w:p>
    <w:p w:rsidR="00184920" w:rsidRPr="003B7B67" w:rsidRDefault="00184920" w:rsidP="00EE1E79">
      <w:pPr>
        <w:pStyle w:val="ListParagraph"/>
        <w:numPr>
          <w:ilvl w:val="0"/>
          <w:numId w:val="28"/>
        </w:numPr>
        <w:rPr>
          <w:rFonts w:ascii="Arial" w:hAnsi="Arial" w:cs="Arial"/>
          <w:sz w:val="24"/>
          <w:szCs w:val="24"/>
        </w:rPr>
      </w:pPr>
      <w:r w:rsidRPr="003B7B67">
        <w:rPr>
          <w:rFonts w:ascii="Arial" w:hAnsi="Arial" w:cs="Arial"/>
          <w:sz w:val="24"/>
          <w:szCs w:val="24"/>
        </w:rPr>
        <w:t>When asked how they can best help students understand and develop speaking skills, staff members will specifically cite their role as a model for student work and behaviou</w:t>
      </w:r>
      <w:r w:rsidR="003D602F" w:rsidRPr="003B7B67">
        <w:rPr>
          <w:rFonts w:ascii="Arial" w:hAnsi="Arial" w:cs="Arial"/>
          <w:sz w:val="24"/>
          <w:szCs w:val="24"/>
        </w:rPr>
        <w:t>r</w:t>
      </w:r>
    </w:p>
    <w:p w:rsidR="00FC4BD0" w:rsidRPr="003B7B67" w:rsidRDefault="00184920" w:rsidP="00FC4BD0">
      <w:pPr>
        <w:pStyle w:val="ListParagraph"/>
        <w:numPr>
          <w:ilvl w:val="0"/>
          <w:numId w:val="28"/>
        </w:numPr>
        <w:rPr>
          <w:rFonts w:ascii="Arial" w:hAnsi="Arial" w:cs="Arial"/>
          <w:sz w:val="24"/>
          <w:szCs w:val="24"/>
        </w:rPr>
      </w:pPr>
      <w:r w:rsidRPr="003B7B67">
        <w:rPr>
          <w:rFonts w:ascii="Arial" w:hAnsi="Arial" w:cs="Arial"/>
          <w:sz w:val="24"/>
          <w:szCs w:val="24"/>
        </w:rPr>
        <w:t>Students and parents report that staff model the attributes of good oracy</w:t>
      </w:r>
    </w:p>
    <w:p w:rsidR="003149BD" w:rsidRPr="003B7B67" w:rsidRDefault="003149BD" w:rsidP="00FC4BD0">
      <w:pPr>
        <w:pStyle w:val="ListParagraph"/>
        <w:numPr>
          <w:ilvl w:val="0"/>
          <w:numId w:val="28"/>
        </w:numPr>
        <w:rPr>
          <w:rFonts w:ascii="Arial" w:hAnsi="Arial" w:cs="Arial"/>
          <w:sz w:val="24"/>
          <w:szCs w:val="24"/>
        </w:rPr>
      </w:pPr>
      <w:r w:rsidRPr="003B7B67">
        <w:rPr>
          <w:rFonts w:ascii="Arial" w:hAnsi="Arial" w:cs="Arial"/>
          <w:sz w:val="24"/>
          <w:szCs w:val="24"/>
        </w:rPr>
        <w:t>Staff are given specific CPD on oracy</w:t>
      </w:r>
    </w:p>
    <w:p w:rsidR="00EE1E79" w:rsidRPr="003B7B67" w:rsidRDefault="00EE1E79" w:rsidP="00EE1E79">
      <w:pPr>
        <w:pStyle w:val="ListParagraph"/>
        <w:ind w:left="1080"/>
        <w:rPr>
          <w:rFonts w:ascii="Arial" w:hAnsi="Arial" w:cs="Arial"/>
          <w:sz w:val="24"/>
          <w:szCs w:val="24"/>
        </w:rPr>
      </w:pPr>
    </w:p>
    <w:p w:rsidR="00964A47" w:rsidRPr="003B7B67" w:rsidRDefault="003E7F9F" w:rsidP="003D602F">
      <w:pPr>
        <w:pStyle w:val="ListParagraph"/>
        <w:numPr>
          <w:ilvl w:val="0"/>
          <w:numId w:val="12"/>
        </w:numPr>
        <w:rPr>
          <w:rFonts w:ascii="Arial" w:hAnsi="Arial" w:cs="Arial"/>
          <w:b/>
          <w:sz w:val="24"/>
          <w:szCs w:val="24"/>
        </w:rPr>
      </w:pPr>
      <w:r w:rsidRPr="003B7B67">
        <w:rPr>
          <w:rFonts w:ascii="Arial" w:hAnsi="Arial" w:cs="Arial"/>
          <w:b/>
          <w:sz w:val="24"/>
          <w:szCs w:val="24"/>
        </w:rPr>
        <w:t>Purposeful talk and discussion are features of every classroom</w:t>
      </w:r>
    </w:p>
    <w:p w:rsidR="008E608D" w:rsidRPr="003B7B67" w:rsidRDefault="00EE1E79" w:rsidP="008E608D">
      <w:pPr>
        <w:pStyle w:val="ListParagraph"/>
        <w:numPr>
          <w:ilvl w:val="0"/>
          <w:numId w:val="37"/>
        </w:numPr>
        <w:rPr>
          <w:rFonts w:ascii="Arial" w:hAnsi="Arial" w:cs="Arial"/>
          <w:sz w:val="24"/>
          <w:szCs w:val="24"/>
        </w:rPr>
      </w:pPr>
      <w:r w:rsidRPr="003B7B67">
        <w:rPr>
          <w:rFonts w:ascii="Arial" w:hAnsi="Arial" w:cs="Arial"/>
          <w:sz w:val="24"/>
          <w:szCs w:val="24"/>
        </w:rPr>
        <w:t xml:space="preserve">The </w:t>
      </w:r>
      <w:r w:rsidRPr="003B7B67">
        <w:rPr>
          <w:rFonts w:ascii="Arial" w:hAnsi="Arial" w:cs="Arial"/>
          <w:bCs/>
          <w:sz w:val="24"/>
          <w:szCs w:val="24"/>
        </w:rPr>
        <w:t>organisation, climate and relationships within the classroom</w:t>
      </w:r>
      <w:r w:rsidRPr="003B7B67">
        <w:rPr>
          <w:rFonts w:ascii="Arial" w:hAnsi="Arial" w:cs="Arial"/>
          <w:sz w:val="24"/>
          <w:szCs w:val="24"/>
        </w:rPr>
        <w:t> promote purposeful speaking and listening</w:t>
      </w:r>
    </w:p>
    <w:p w:rsidR="00EE1E79" w:rsidRPr="003B7B67" w:rsidRDefault="008E608D" w:rsidP="008E608D">
      <w:pPr>
        <w:pStyle w:val="ListParagraph"/>
        <w:numPr>
          <w:ilvl w:val="0"/>
          <w:numId w:val="37"/>
        </w:numPr>
        <w:rPr>
          <w:rFonts w:ascii="Arial" w:hAnsi="Arial" w:cs="Arial"/>
          <w:sz w:val="24"/>
          <w:szCs w:val="24"/>
        </w:rPr>
      </w:pPr>
      <w:r w:rsidRPr="003B7B67">
        <w:rPr>
          <w:rFonts w:ascii="Arial" w:hAnsi="Arial" w:cs="Arial"/>
          <w:sz w:val="24"/>
          <w:szCs w:val="24"/>
        </w:rPr>
        <w:t xml:space="preserve">Oracy is integrated into academic content and instruction. The school is able to point to examples of lessons from teachers in diverse subject areas that explicitly include the integration of oracy into academic content </w:t>
      </w:r>
    </w:p>
    <w:p w:rsidR="00EE1E79" w:rsidRPr="003B7B67" w:rsidRDefault="00EE1E79" w:rsidP="008E608D">
      <w:pPr>
        <w:pStyle w:val="ListParagraph"/>
        <w:numPr>
          <w:ilvl w:val="0"/>
          <w:numId w:val="37"/>
        </w:numPr>
        <w:rPr>
          <w:rFonts w:ascii="Arial" w:hAnsi="Arial" w:cs="Arial"/>
          <w:sz w:val="24"/>
          <w:szCs w:val="24"/>
        </w:rPr>
      </w:pPr>
      <w:r w:rsidRPr="003B7B67">
        <w:rPr>
          <w:rFonts w:ascii="Arial" w:hAnsi="Arial" w:cs="Arial"/>
          <w:sz w:val="24"/>
          <w:szCs w:val="24"/>
        </w:rPr>
        <w:t xml:space="preserve">Teachers promote </w:t>
      </w:r>
      <w:r w:rsidRPr="003B7B67">
        <w:rPr>
          <w:rFonts w:ascii="Arial" w:hAnsi="Arial" w:cs="Arial"/>
          <w:bCs/>
          <w:sz w:val="24"/>
          <w:szCs w:val="24"/>
        </w:rPr>
        <w:t>questions</w:t>
      </w:r>
      <w:r w:rsidRPr="003B7B67">
        <w:rPr>
          <w:rFonts w:ascii="Arial" w:hAnsi="Arial" w:cs="Arial"/>
          <w:sz w:val="24"/>
          <w:szCs w:val="24"/>
        </w:rPr>
        <w:t> which invite much more than simple recall</w:t>
      </w:r>
    </w:p>
    <w:p w:rsidR="00EE1E79" w:rsidRPr="003B7B67" w:rsidRDefault="003E7F9F" w:rsidP="008E608D">
      <w:pPr>
        <w:pStyle w:val="ListParagraph"/>
        <w:numPr>
          <w:ilvl w:val="0"/>
          <w:numId w:val="37"/>
        </w:numPr>
        <w:rPr>
          <w:rFonts w:ascii="Arial" w:hAnsi="Arial" w:cs="Arial"/>
          <w:sz w:val="24"/>
          <w:szCs w:val="24"/>
        </w:rPr>
      </w:pPr>
      <w:r w:rsidRPr="003B7B67">
        <w:rPr>
          <w:rFonts w:ascii="Arial" w:hAnsi="Arial" w:cs="Arial"/>
          <w:sz w:val="24"/>
          <w:szCs w:val="24"/>
        </w:rPr>
        <w:t xml:space="preserve">Lessons promote </w:t>
      </w:r>
      <w:r w:rsidRPr="003B7B67">
        <w:rPr>
          <w:rFonts w:ascii="Arial" w:hAnsi="Arial" w:cs="Arial"/>
          <w:bCs/>
          <w:sz w:val="24"/>
          <w:szCs w:val="24"/>
        </w:rPr>
        <w:t>answers</w:t>
      </w:r>
      <w:r w:rsidRPr="003B7B67">
        <w:rPr>
          <w:rFonts w:ascii="Arial" w:hAnsi="Arial" w:cs="Arial"/>
          <w:sz w:val="24"/>
          <w:szCs w:val="24"/>
        </w:rPr>
        <w:t> which are justified, followed up and built upon rather than merely received</w:t>
      </w:r>
    </w:p>
    <w:p w:rsidR="008E608D" w:rsidRPr="003B7B67" w:rsidRDefault="008E608D" w:rsidP="001307BE">
      <w:pPr>
        <w:pStyle w:val="ListParagraph"/>
        <w:numPr>
          <w:ilvl w:val="0"/>
          <w:numId w:val="12"/>
        </w:numPr>
        <w:rPr>
          <w:rFonts w:ascii="Arial" w:hAnsi="Arial" w:cs="Arial"/>
          <w:b/>
          <w:sz w:val="24"/>
          <w:szCs w:val="24"/>
        </w:rPr>
      </w:pPr>
      <w:r w:rsidRPr="003B7B67">
        <w:rPr>
          <w:rFonts w:ascii="Arial" w:hAnsi="Arial" w:cs="Arial"/>
          <w:b/>
          <w:sz w:val="24"/>
          <w:szCs w:val="24"/>
        </w:rPr>
        <w:t xml:space="preserve">All teachers develop the oracy skills of their students across all subjects </w:t>
      </w:r>
    </w:p>
    <w:p w:rsidR="008E608D" w:rsidRPr="003B7B67" w:rsidRDefault="008E608D" w:rsidP="008E608D">
      <w:pPr>
        <w:pStyle w:val="ListParagraph"/>
        <w:numPr>
          <w:ilvl w:val="0"/>
          <w:numId w:val="26"/>
        </w:numPr>
        <w:rPr>
          <w:rFonts w:ascii="Arial" w:hAnsi="Arial" w:cs="Arial"/>
          <w:sz w:val="24"/>
          <w:szCs w:val="24"/>
        </w:rPr>
      </w:pPr>
      <w:r w:rsidRPr="003B7B67">
        <w:rPr>
          <w:rFonts w:ascii="Arial" w:hAnsi="Arial" w:cs="Arial"/>
          <w:sz w:val="24"/>
          <w:szCs w:val="24"/>
        </w:rPr>
        <w:lastRenderedPageBreak/>
        <w:t>Lessons promote interactions which encourage students to think, and to think in different ways</w:t>
      </w:r>
    </w:p>
    <w:p w:rsidR="008E608D" w:rsidRPr="003B7B67" w:rsidRDefault="008E608D" w:rsidP="008E608D">
      <w:pPr>
        <w:pStyle w:val="ListParagraph"/>
        <w:numPr>
          <w:ilvl w:val="0"/>
          <w:numId w:val="26"/>
        </w:numPr>
        <w:rPr>
          <w:rFonts w:ascii="Arial" w:hAnsi="Arial" w:cs="Arial"/>
          <w:sz w:val="24"/>
          <w:szCs w:val="24"/>
        </w:rPr>
      </w:pPr>
      <w:r w:rsidRPr="003B7B67">
        <w:rPr>
          <w:rFonts w:ascii="Arial" w:hAnsi="Arial" w:cs="Arial"/>
          <w:sz w:val="24"/>
          <w:szCs w:val="24"/>
        </w:rPr>
        <w:t>The school creates meaningful opportunities for oracy across a range of contexts and with a variety of ‘audiences’</w:t>
      </w:r>
    </w:p>
    <w:p w:rsidR="001307BE" w:rsidRPr="003B7B67" w:rsidRDefault="001307BE" w:rsidP="001307BE">
      <w:pPr>
        <w:pStyle w:val="ListParagraph"/>
        <w:ind w:left="1080"/>
        <w:rPr>
          <w:rFonts w:ascii="Arial" w:hAnsi="Arial" w:cs="Arial"/>
          <w:sz w:val="24"/>
          <w:szCs w:val="24"/>
        </w:rPr>
      </w:pPr>
    </w:p>
    <w:p w:rsidR="009F6957" w:rsidRPr="003B7B67" w:rsidRDefault="00EE1E79" w:rsidP="00EE1E79">
      <w:pPr>
        <w:pStyle w:val="ListParagraph"/>
        <w:numPr>
          <w:ilvl w:val="0"/>
          <w:numId w:val="12"/>
        </w:numPr>
        <w:rPr>
          <w:rFonts w:ascii="Arial" w:hAnsi="Arial" w:cs="Arial"/>
          <w:b/>
          <w:sz w:val="24"/>
          <w:szCs w:val="24"/>
        </w:rPr>
      </w:pPr>
      <w:r w:rsidRPr="003B7B67">
        <w:rPr>
          <w:rFonts w:ascii="Arial" w:hAnsi="Arial" w:cs="Arial"/>
          <w:b/>
          <w:sz w:val="24"/>
          <w:szCs w:val="24"/>
        </w:rPr>
        <w:t>Classroom talk supports student engagement with knowledge, critical thinking and reasoning</w:t>
      </w:r>
    </w:p>
    <w:p w:rsidR="00EE1E79" w:rsidRPr="003B7B67" w:rsidRDefault="00EE1E79" w:rsidP="00EE1E79">
      <w:pPr>
        <w:pStyle w:val="ListParagraph"/>
        <w:numPr>
          <w:ilvl w:val="0"/>
          <w:numId w:val="31"/>
        </w:numPr>
        <w:rPr>
          <w:rFonts w:ascii="Arial" w:hAnsi="Arial" w:cs="Arial"/>
          <w:sz w:val="24"/>
          <w:szCs w:val="24"/>
        </w:rPr>
      </w:pPr>
      <w:r w:rsidRPr="003B7B67">
        <w:rPr>
          <w:rFonts w:ascii="Arial" w:hAnsi="Arial" w:cs="Arial"/>
          <w:sz w:val="24"/>
          <w:szCs w:val="24"/>
        </w:rPr>
        <w:t xml:space="preserve">Teachers provide opportunities for students to develop their reasoning through discussions of issues in their content areas </w:t>
      </w:r>
    </w:p>
    <w:p w:rsidR="00EE1E79" w:rsidRPr="003B7B67" w:rsidRDefault="00EE1E79" w:rsidP="00EE1E79">
      <w:pPr>
        <w:pStyle w:val="ListParagraph"/>
        <w:numPr>
          <w:ilvl w:val="0"/>
          <w:numId w:val="31"/>
        </w:numPr>
        <w:rPr>
          <w:rFonts w:ascii="Arial" w:hAnsi="Arial" w:cs="Arial"/>
          <w:sz w:val="24"/>
          <w:szCs w:val="24"/>
        </w:rPr>
      </w:pPr>
      <w:r w:rsidRPr="003B7B67">
        <w:rPr>
          <w:rFonts w:ascii="Arial" w:hAnsi="Arial" w:cs="Arial"/>
          <w:sz w:val="24"/>
          <w:szCs w:val="24"/>
        </w:rPr>
        <w:t xml:space="preserve">Lessons promote </w:t>
      </w:r>
      <w:r w:rsidRPr="003B7B67">
        <w:rPr>
          <w:rFonts w:ascii="Arial" w:hAnsi="Arial" w:cs="Arial"/>
          <w:bCs/>
          <w:sz w:val="24"/>
          <w:szCs w:val="24"/>
        </w:rPr>
        <w:t>discussion and argumentation</w:t>
      </w:r>
      <w:r w:rsidRPr="003B7B67">
        <w:rPr>
          <w:rFonts w:ascii="Arial" w:hAnsi="Arial" w:cs="Arial"/>
          <w:sz w:val="24"/>
          <w:szCs w:val="24"/>
        </w:rPr>
        <w:t> which probe and challenge rather than unquestioningly accept</w:t>
      </w:r>
    </w:p>
    <w:p w:rsidR="00EE1E79" w:rsidRPr="003B7B67" w:rsidRDefault="00EE1E79" w:rsidP="00EE1E79">
      <w:pPr>
        <w:pStyle w:val="ListParagraph"/>
        <w:numPr>
          <w:ilvl w:val="0"/>
          <w:numId w:val="31"/>
        </w:numPr>
        <w:rPr>
          <w:rFonts w:ascii="Arial" w:hAnsi="Arial" w:cs="Arial"/>
          <w:sz w:val="24"/>
          <w:szCs w:val="24"/>
        </w:rPr>
      </w:pPr>
      <w:r w:rsidRPr="003B7B67">
        <w:rPr>
          <w:rFonts w:ascii="Arial" w:hAnsi="Arial" w:cs="Arial"/>
          <w:sz w:val="24"/>
          <w:szCs w:val="24"/>
        </w:rPr>
        <w:t>Lessons promote e</w:t>
      </w:r>
      <w:r w:rsidRPr="003B7B67">
        <w:rPr>
          <w:rFonts w:ascii="Arial" w:hAnsi="Arial" w:cs="Arial"/>
          <w:bCs/>
          <w:sz w:val="24"/>
          <w:szCs w:val="24"/>
        </w:rPr>
        <w:t>xchanges</w:t>
      </w:r>
      <w:r w:rsidRPr="003B7B67">
        <w:rPr>
          <w:rFonts w:ascii="Arial" w:hAnsi="Arial" w:cs="Arial"/>
          <w:sz w:val="24"/>
          <w:szCs w:val="24"/>
        </w:rPr>
        <w:t> which chain together into coherent and deepening lines of enquiry</w:t>
      </w:r>
    </w:p>
    <w:p w:rsidR="00EE1E79" w:rsidRPr="003B7B67" w:rsidRDefault="00EE1E79" w:rsidP="00EE1E79">
      <w:pPr>
        <w:pStyle w:val="ListParagraph"/>
        <w:numPr>
          <w:ilvl w:val="0"/>
          <w:numId w:val="31"/>
        </w:numPr>
        <w:rPr>
          <w:rFonts w:ascii="Arial" w:hAnsi="Arial" w:cs="Arial"/>
          <w:sz w:val="24"/>
          <w:szCs w:val="24"/>
        </w:rPr>
      </w:pPr>
      <w:r w:rsidRPr="003B7B67">
        <w:rPr>
          <w:rFonts w:ascii="Arial" w:hAnsi="Arial" w:cs="Arial"/>
          <w:sz w:val="24"/>
          <w:szCs w:val="24"/>
        </w:rPr>
        <w:t xml:space="preserve">Lessons promote </w:t>
      </w:r>
      <w:r w:rsidRPr="003B7B67">
        <w:rPr>
          <w:rFonts w:ascii="Arial" w:hAnsi="Arial" w:cs="Arial"/>
          <w:bCs/>
          <w:sz w:val="24"/>
          <w:szCs w:val="24"/>
        </w:rPr>
        <w:t>feedback</w:t>
      </w:r>
      <w:r w:rsidRPr="003B7B67">
        <w:rPr>
          <w:rFonts w:ascii="Arial" w:hAnsi="Arial" w:cs="Arial"/>
          <w:sz w:val="24"/>
          <w:szCs w:val="24"/>
        </w:rPr>
        <w:t xml:space="preserve"> which informs and leads thinking forward as well as encourages </w:t>
      </w:r>
      <w:r w:rsidRPr="003B7B67">
        <w:rPr>
          <w:rFonts w:ascii="Arial" w:hAnsi="Arial" w:cs="Arial"/>
          <w:bCs/>
          <w:sz w:val="24"/>
          <w:szCs w:val="24"/>
        </w:rPr>
        <w:t>contributions</w:t>
      </w:r>
      <w:r w:rsidRPr="003B7B67">
        <w:rPr>
          <w:rFonts w:ascii="Arial" w:hAnsi="Arial" w:cs="Arial"/>
          <w:sz w:val="24"/>
          <w:szCs w:val="24"/>
        </w:rPr>
        <w:t> which are extended rather than fragmented</w:t>
      </w:r>
    </w:p>
    <w:p w:rsidR="00EE1E79" w:rsidRPr="003B7B67" w:rsidRDefault="00EE1E79" w:rsidP="009F6957">
      <w:pPr>
        <w:pStyle w:val="ListParagraph"/>
        <w:ind w:left="1080"/>
        <w:rPr>
          <w:rFonts w:ascii="Arial" w:hAnsi="Arial" w:cs="Arial"/>
          <w:sz w:val="24"/>
          <w:szCs w:val="24"/>
        </w:rPr>
      </w:pPr>
    </w:p>
    <w:p w:rsidR="00964A47" w:rsidRPr="003B7B67" w:rsidRDefault="001307BE" w:rsidP="009F6957">
      <w:pPr>
        <w:pStyle w:val="ListParagraph"/>
        <w:numPr>
          <w:ilvl w:val="0"/>
          <w:numId w:val="12"/>
        </w:numPr>
        <w:rPr>
          <w:rFonts w:ascii="Arial" w:hAnsi="Arial" w:cs="Arial"/>
          <w:b/>
          <w:sz w:val="24"/>
          <w:szCs w:val="24"/>
        </w:rPr>
      </w:pPr>
      <w:r w:rsidRPr="003B7B67">
        <w:rPr>
          <w:rFonts w:ascii="Arial" w:hAnsi="Arial" w:cs="Arial"/>
          <w:b/>
          <w:sz w:val="24"/>
          <w:szCs w:val="24"/>
        </w:rPr>
        <w:t>School leaders, t</w:t>
      </w:r>
      <w:r w:rsidR="003E7F9F" w:rsidRPr="003B7B67">
        <w:rPr>
          <w:rFonts w:ascii="Arial" w:hAnsi="Arial" w:cs="Arial"/>
          <w:b/>
          <w:sz w:val="24"/>
          <w:szCs w:val="24"/>
        </w:rPr>
        <w:t>eachers and students share expectations of oracy</w:t>
      </w:r>
    </w:p>
    <w:p w:rsidR="003E7F9F" w:rsidRPr="003B7B67" w:rsidRDefault="003E7F9F" w:rsidP="003149BD">
      <w:pPr>
        <w:pStyle w:val="ListParagraph"/>
        <w:numPr>
          <w:ilvl w:val="0"/>
          <w:numId w:val="32"/>
        </w:numPr>
        <w:rPr>
          <w:rFonts w:ascii="Arial" w:hAnsi="Arial" w:cs="Arial"/>
          <w:sz w:val="24"/>
          <w:szCs w:val="24"/>
        </w:rPr>
      </w:pPr>
      <w:r w:rsidRPr="003B7B67">
        <w:rPr>
          <w:rFonts w:ascii="Arial" w:hAnsi="Arial" w:cs="Arial"/>
          <w:sz w:val="24"/>
          <w:szCs w:val="24"/>
        </w:rPr>
        <w:t>The school defines oracy clearly and comprehensively</w:t>
      </w:r>
    </w:p>
    <w:p w:rsidR="009F6957" w:rsidRPr="003B7B67" w:rsidRDefault="009F6957" w:rsidP="003149BD">
      <w:pPr>
        <w:pStyle w:val="ListParagraph"/>
        <w:numPr>
          <w:ilvl w:val="0"/>
          <w:numId w:val="32"/>
        </w:numPr>
        <w:rPr>
          <w:rFonts w:ascii="Arial" w:hAnsi="Arial" w:cs="Arial"/>
          <w:sz w:val="24"/>
          <w:szCs w:val="24"/>
        </w:rPr>
      </w:pPr>
      <w:r w:rsidRPr="003B7B67">
        <w:rPr>
          <w:rFonts w:ascii="Arial" w:hAnsi="Arial" w:cs="Arial"/>
          <w:sz w:val="24"/>
          <w:szCs w:val="24"/>
        </w:rPr>
        <w:t>Teachers apply shared standards for oracy across the school and uphold non-</w:t>
      </w:r>
      <w:r w:rsidR="003569CF" w:rsidRPr="003B7B67">
        <w:rPr>
          <w:rFonts w:ascii="Arial" w:hAnsi="Arial" w:cs="Arial"/>
          <w:sz w:val="24"/>
          <w:szCs w:val="24"/>
        </w:rPr>
        <w:t>negotiables</w:t>
      </w:r>
      <w:r w:rsidRPr="003B7B67">
        <w:rPr>
          <w:rFonts w:ascii="Arial" w:hAnsi="Arial" w:cs="Arial"/>
          <w:sz w:val="24"/>
          <w:szCs w:val="24"/>
        </w:rPr>
        <w:t xml:space="preserve"> (i.e. no one word </w:t>
      </w:r>
      <w:r w:rsidR="003569CF" w:rsidRPr="003B7B67">
        <w:rPr>
          <w:rFonts w:ascii="Arial" w:hAnsi="Arial" w:cs="Arial"/>
          <w:sz w:val="24"/>
          <w:szCs w:val="24"/>
        </w:rPr>
        <w:t>answers</w:t>
      </w:r>
      <w:r w:rsidRPr="003B7B67">
        <w:rPr>
          <w:rFonts w:ascii="Arial" w:hAnsi="Arial" w:cs="Arial"/>
          <w:sz w:val="24"/>
          <w:szCs w:val="24"/>
        </w:rPr>
        <w:t xml:space="preserve">) </w:t>
      </w:r>
    </w:p>
    <w:p w:rsidR="006E1F5E" w:rsidRPr="003B7B67" w:rsidRDefault="006E1F5E" w:rsidP="003149BD">
      <w:pPr>
        <w:pStyle w:val="ListParagraph"/>
        <w:numPr>
          <w:ilvl w:val="0"/>
          <w:numId w:val="32"/>
        </w:numPr>
        <w:rPr>
          <w:rFonts w:ascii="Arial" w:hAnsi="Arial" w:cs="Arial"/>
          <w:sz w:val="24"/>
          <w:szCs w:val="24"/>
        </w:rPr>
      </w:pPr>
      <w:r w:rsidRPr="003B7B67">
        <w:rPr>
          <w:rFonts w:ascii="Arial" w:hAnsi="Arial" w:cs="Arial"/>
          <w:sz w:val="24"/>
          <w:szCs w:val="24"/>
        </w:rPr>
        <w:t>Students understand the expectations and strive to meet them</w:t>
      </w:r>
    </w:p>
    <w:p w:rsidR="00184920" w:rsidRPr="003B7B67" w:rsidRDefault="00184920" w:rsidP="003149BD">
      <w:pPr>
        <w:pStyle w:val="ListParagraph"/>
        <w:numPr>
          <w:ilvl w:val="0"/>
          <w:numId w:val="32"/>
        </w:numPr>
        <w:rPr>
          <w:rFonts w:ascii="Arial" w:hAnsi="Arial" w:cs="Arial"/>
          <w:sz w:val="24"/>
          <w:szCs w:val="24"/>
        </w:rPr>
      </w:pPr>
      <w:r w:rsidRPr="003B7B67">
        <w:rPr>
          <w:rFonts w:ascii="Arial" w:hAnsi="Arial" w:cs="Arial"/>
          <w:sz w:val="24"/>
          <w:szCs w:val="24"/>
        </w:rPr>
        <w:t>The school communicates clear and consistent expectations of good oracy throughout the school experience (e.g., extracurricular time, external placements and events, lunchtime and breaks) and in all areas of the school (e.g., dining area, halls, playground, sports fields).</w:t>
      </w:r>
    </w:p>
    <w:p w:rsidR="009F6957" w:rsidRPr="003B7B67" w:rsidRDefault="009F6957" w:rsidP="009F6957">
      <w:pPr>
        <w:pStyle w:val="ListParagraph"/>
        <w:ind w:left="1080"/>
        <w:rPr>
          <w:rFonts w:ascii="Arial" w:hAnsi="Arial" w:cs="Arial"/>
          <w:sz w:val="24"/>
          <w:szCs w:val="24"/>
        </w:rPr>
      </w:pPr>
    </w:p>
    <w:p w:rsidR="003E7F9F" w:rsidRPr="003B7B67" w:rsidRDefault="003E7F9F" w:rsidP="009F6957">
      <w:pPr>
        <w:pStyle w:val="ListParagraph"/>
        <w:numPr>
          <w:ilvl w:val="0"/>
          <w:numId w:val="12"/>
        </w:numPr>
        <w:rPr>
          <w:rFonts w:ascii="Arial" w:hAnsi="Arial" w:cs="Arial"/>
          <w:b/>
          <w:sz w:val="24"/>
          <w:szCs w:val="24"/>
        </w:rPr>
      </w:pPr>
      <w:r w:rsidRPr="003B7B67">
        <w:rPr>
          <w:rFonts w:ascii="Arial" w:hAnsi="Arial" w:cs="Arial"/>
          <w:b/>
          <w:sz w:val="24"/>
          <w:szCs w:val="24"/>
        </w:rPr>
        <w:t xml:space="preserve">Staff are skilled at deploying teaching strategies, techniques and approaches to develop oracy </w:t>
      </w:r>
    </w:p>
    <w:p w:rsidR="009F6957" w:rsidRPr="003B7B67" w:rsidRDefault="009F6957" w:rsidP="003149BD">
      <w:pPr>
        <w:pStyle w:val="ListParagraph"/>
        <w:numPr>
          <w:ilvl w:val="0"/>
          <w:numId w:val="33"/>
        </w:numPr>
        <w:rPr>
          <w:rFonts w:ascii="Arial" w:hAnsi="Arial" w:cs="Arial"/>
          <w:sz w:val="24"/>
          <w:szCs w:val="24"/>
        </w:rPr>
      </w:pPr>
      <w:r w:rsidRPr="003B7B67">
        <w:rPr>
          <w:rFonts w:ascii="Arial" w:hAnsi="Arial" w:cs="Arial"/>
          <w:sz w:val="24"/>
          <w:szCs w:val="24"/>
        </w:rPr>
        <w:t>Teachers are adept at using a range of strategies and protocols to support oracy</w:t>
      </w:r>
    </w:p>
    <w:p w:rsidR="009F6957" w:rsidRPr="003B7B67" w:rsidRDefault="009F6957" w:rsidP="003149BD">
      <w:pPr>
        <w:pStyle w:val="ListParagraph"/>
        <w:numPr>
          <w:ilvl w:val="0"/>
          <w:numId w:val="33"/>
        </w:numPr>
        <w:rPr>
          <w:rFonts w:ascii="Arial" w:hAnsi="Arial" w:cs="Arial"/>
          <w:sz w:val="24"/>
          <w:szCs w:val="24"/>
        </w:rPr>
      </w:pPr>
      <w:r w:rsidRPr="003B7B67">
        <w:rPr>
          <w:rFonts w:ascii="Arial" w:hAnsi="Arial" w:cs="Arial"/>
          <w:sz w:val="24"/>
          <w:szCs w:val="24"/>
        </w:rPr>
        <w:t>Teachers effectively use scaffolding to develop students speaking and listening skills</w:t>
      </w:r>
    </w:p>
    <w:p w:rsidR="009F6957" w:rsidRPr="003B7B67" w:rsidRDefault="009F6957" w:rsidP="003149BD">
      <w:pPr>
        <w:pStyle w:val="ListParagraph"/>
        <w:numPr>
          <w:ilvl w:val="0"/>
          <w:numId w:val="33"/>
        </w:numPr>
        <w:rPr>
          <w:rFonts w:ascii="Arial" w:hAnsi="Arial" w:cs="Arial"/>
          <w:sz w:val="24"/>
          <w:szCs w:val="24"/>
        </w:rPr>
      </w:pPr>
      <w:r w:rsidRPr="003B7B67">
        <w:rPr>
          <w:rFonts w:ascii="Arial" w:hAnsi="Arial" w:cs="Arial"/>
          <w:sz w:val="24"/>
          <w:szCs w:val="24"/>
        </w:rPr>
        <w:t>Teachers vary their approaches based on the context and purpose of the talk</w:t>
      </w:r>
    </w:p>
    <w:p w:rsidR="003D602F" w:rsidRPr="003B7B67" w:rsidRDefault="009F6957" w:rsidP="003149BD">
      <w:pPr>
        <w:pStyle w:val="ListParagraph"/>
        <w:numPr>
          <w:ilvl w:val="0"/>
          <w:numId w:val="33"/>
        </w:numPr>
        <w:rPr>
          <w:rFonts w:ascii="Arial" w:hAnsi="Arial" w:cs="Arial"/>
          <w:sz w:val="24"/>
          <w:szCs w:val="24"/>
        </w:rPr>
      </w:pPr>
      <w:r w:rsidRPr="003B7B67">
        <w:rPr>
          <w:rFonts w:ascii="Arial" w:hAnsi="Arial" w:cs="Arial"/>
          <w:sz w:val="24"/>
          <w:szCs w:val="24"/>
        </w:rPr>
        <w:t>Teachers demonstrate that they can personalise their approaches the oracy to meet the needs of specific students</w:t>
      </w:r>
    </w:p>
    <w:p w:rsidR="009F6957" w:rsidRPr="003B7B67" w:rsidRDefault="009F6957" w:rsidP="009F6957">
      <w:pPr>
        <w:pStyle w:val="ListParagraph"/>
        <w:ind w:left="1080"/>
        <w:rPr>
          <w:rFonts w:ascii="Arial" w:hAnsi="Arial" w:cs="Arial"/>
          <w:sz w:val="24"/>
          <w:szCs w:val="24"/>
        </w:rPr>
      </w:pPr>
    </w:p>
    <w:p w:rsidR="00964A47" w:rsidRPr="003B7B67" w:rsidRDefault="00964A47" w:rsidP="009F6957">
      <w:pPr>
        <w:pStyle w:val="ListParagraph"/>
        <w:numPr>
          <w:ilvl w:val="0"/>
          <w:numId w:val="12"/>
        </w:numPr>
        <w:rPr>
          <w:rFonts w:ascii="Arial" w:hAnsi="Arial" w:cs="Arial"/>
          <w:b/>
          <w:sz w:val="24"/>
          <w:szCs w:val="24"/>
        </w:rPr>
      </w:pPr>
      <w:r w:rsidRPr="003B7B67">
        <w:rPr>
          <w:rFonts w:ascii="Arial" w:hAnsi="Arial" w:cs="Arial"/>
          <w:b/>
          <w:sz w:val="24"/>
          <w:szCs w:val="24"/>
        </w:rPr>
        <w:t xml:space="preserve">Students make progress in oracy and </w:t>
      </w:r>
      <w:r w:rsidR="00184920" w:rsidRPr="003B7B67">
        <w:rPr>
          <w:rFonts w:ascii="Arial" w:hAnsi="Arial" w:cs="Arial"/>
          <w:b/>
          <w:sz w:val="24"/>
          <w:szCs w:val="24"/>
        </w:rPr>
        <w:t xml:space="preserve">progress is tracked and acted upon </w:t>
      </w:r>
    </w:p>
    <w:p w:rsidR="003149BD" w:rsidRPr="003B7B67" w:rsidRDefault="003149BD" w:rsidP="003149BD">
      <w:pPr>
        <w:pStyle w:val="ListParagraph"/>
        <w:numPr>
          <w:ilvl w:val="0"/>
          <w:numId w:val="34"/>
        </w:numPr>
        <w:rPr>
          <w:rFonts w:ascii="Arial" w:hAnsi="Arial" w:cs="Arial"/>
          <w:sz w:val="24"/>
          <w:szCs w:val="24"/>
        </w:rPr>
      </w:pPr>
      <w:r w:rsidRPr="003B7B67">
        <w:rPr>
          <w:rFonts w:ascii="Arial" w:hAnsi="Arial" w:cs="Arial"/>
          <w:sz w:val="24"/>
          <w:szCs w:val="24"/>
        </w:rPr>
        <w:t>Students are able to articulate on a personal level what good oracy means and why it is important (e.g., students can cite personal goals, achievements, and challenges)</w:t>
      </w:r>
    </w:p>
    <w:p w:rsidR="003E7F9F" w:rsidRPr="003B7B67" w:rsidRDefault="003E7F9F" w:rsidP="003149BD">
      <w:pPr>
        <w:pStyle w:val="ListParagraph"/>
        <w:numPr>
          <w:ilvl w:val="0"/>
          <w:numId w:val="34"/>
        </w:numPr>
        <w:rPr>
          <w:rFonts w:ascii="Arial" w:hAnsi="Arial" w:cs="Arial"/>
          <w:sz w:val="24"/>
          <w:szCs w:val="24"/>
        </w:rPr>
      </w:pPr>
      <w:r w:rsidRPr="003B7B67">
        <w:rPr>
          <w:rFonts w:ascii="Arial" w:hAnsi="Arial" w:cs="Arial"/>
          <w:sz w:val="24"/>
          <w:szCs w:val="24"/>
        </w:rPr>
        <w:t>Students receive specific feedback on their oracy from both staff and peers</w:t>
      </w:r>
    </w:p>
    <w:p w:rsidR="003E7F9F" w:rsidRPr="003B7B67" w:rsidRDefault="003149BD" w:rsidP="003149BD">
      <w:pPr>
        <w:pStyle w:val="ListParagraph"/>
        <w:numPr>
          <w:ilvl w:val="0"/>
          <w:numId w:val="34"/>
        </w:numPr>
        <w:rPr>
          <w:rFonts w:ascii="Arial" w:hAnsi="Arial" w:cs="Arial"/>
          <w:sz w:val="24"/>
          <w:szCs w:val="24"/>
        </w:rPr>
      </w:pPr>
      <w:r w:rsidRPr="003B7B67">
        <w:rPr>
          <w:rFonts w:ascii="Arial" w:hAnsi="Arial" w:cs="Arial"/>
          <w:sz w:val="24"/>
          <w:szCs w:val="24"/>
        </w:rPr>
        <w:t xml:space="preserve">The school </w:t>
      </w:r>
      <w:r w:rsidR="00184920" w:rsidRPr="003B7B67">
        <w:rPr>
          <w:rFonts w:ascii="Arial" w:hAnsi="Arial" w:cs="Arial"/>
          <w:sz w:val="24"/>
          <w:szCs w:val="24"/>
        </w:rPr>
        <w:t>assess</w:t>
      </w:r>
      <w:r w:rsidRPr="003B7B67">
        <w:rPr>
          <w:rFonts w:ascii="Arial" w:hAnsi="Arial" w:cs="Arial"/>
          <w:sz w:val="24"/>
          <w:szCs w:val="24"/>
        </w:rPr>
        <w:t>es</w:t>
      </w:r>
      <w:r w:rsidR="00184920" w:rsidRPr="003B7B67">
        <w:rPr>
          <w:rFonts w:ascii="Arial" w:hAnsi="Arial" w:cs="Arial"/>
          <w:sz w:val="24"/>
          <w:szCs w:val="24"/>
        </w:rPr>
        <w:t xml:space="preserve"> student progress in the area of oracy</w:t>
      </w:r>
    </w:p>
    <w:p w:rsidR="003149BD" w:rsidRPr="003B7B67" w:rsidRDefault="003149BD" w:rsidP="003149BD">
      <w:pPr>
        <w:pStyle w:val="ListParagraph"/>
        <w:numPr>
          <w:ilvl w:val="0"/>
          <w:numId w:val="34"/>
        </w:numPr>
        <w:rPr>
          <w:rFonts w:ascii="Arial" w:hAnsi="Arial" w:cs="Arial"/>
          <w:sz w:val="24"/>
          <w:szCs w:val="24"/>
        </w:rPr>
      </w:pPr>
      <w:r w:rsidRPr="003B7B67">
        <w:rPr>
          <w:rFonts w:ascii="Arial" w:hAnsi="Arial" w:cs="Arial"/>
          <w:sz w:val="24"/>
          <w:szCs w:val="24"/>
        </w:rPr>
        <w:lastRenderedPageBreak/>
        <w:t xml:space="preserve">The School deploys interventions to support students to accelerate progress in oracy </w:t>
      </w:r>
    </w:p>
    <w:p w:rsidR="009F6957" w:rsidRPr="003B7B67" w:rsidRDefault="009F6957" w:rsidP="009F6957">
      <w:pPr>
        <w:pStyle w:val="ListParagraph"/>
        <w:ind w:left="1080"/>
        <w:rPr>
          <w:rFonts w:ascii="Arial" w:hAnsi="Arial" w:cs="Arial"/>
          <w:sz w:val="24"/>
          <w:szCs w:val="24"/>
        </w:rPr>
      </w:pPr>
    </w:p>
    <w:p w:rsidR="003E7F9F" w:rsidRPr="003B7B67" w:rsidRDefault="00964A47" w:rsidP="009F6957">
      <w:pPr>
        <w:pStyle w:val="ListParagraph"/>
        <w:numPr>
          <w:ilvl w:val="0"/>
          <w:numId w:val="12"/>
        </w:numPr>
        <w:rPr>
          <w:rFonts w:ascii="Arial" w:hAnsi="Arial" w:cs="Arial"/>
          <w:b/>
          <w:sz w:val="24"/>
          <w:szCs w:val="24"/>
        </w:rPr>
      </w:pPr>
      <w:r w:rsidRPr="003B7B67">
        <w:rPr>
          <w:rFonts w:ascii="Arial" w:hAnsi="Arial" w:cs="Arial"/>
          <w:b/>
          <w:sz w:val="24"/>
          <w:szCs w:val="24"/>
        </w:rPr>
        <w:t xml:space="preserve">Oracy is </w:t>
      </w:r>
      <w:r w:rsidR="009F6957" w:rsidRPr="003B7B67">
        <w:rPr>
          <w:rFonts w:ascii="Arial" w:hAnsi="Arial" w:cs="Arial"/>
          <w:b/>
          <w:sz w:val="24"/>
          <w:szCs w:val="24"/>
        </w:rPr>
        <w:t>recognised</w:t>
      </w:r>
      <w:r w:rsidR="003149BD" w:rsidRPr="003B7B67">
        <w:rPr>
          <w:rFonts w:ascii="Arial" w:hAnsi="Arial" w:cs="Arial"/>
          <w:b/>
          <w:sz w:val="24"/>
          <w:szCs w:val="24"/>
        </w:rPr>
        <w:t>,</w:t>
      </w:r>
      <w:r w:rsidRPr="003B7B67">
        <w:rPr>
          <w:rFonts w:ascii="Arial" w:hAnsi="Arial" w:cs="Arial"/>
          <w:b/>
          <w:sz w:val="24"/>
          <w:szCs w:val="24"/>
        </w:rPr>
        <w:t xml:space="preserve"> valued and celebrated across the school by staff and students </w:t>
      </w:r>
    </w:p>
    <w:p w:rsidR="009F6957" w:rsidRPr="003B7B67" w:rsidRDefault="009F6957" w:rsidP="003149BD">
      <w:pPr>
        <w:pStyle w:val="ListParagraph"/>
        <w:numPr>
          <w:ilvl w:val="0"/>
          <w:numId w:val="35"/>
        </w:numPr>
        <w:rPr>
          <w:rFonts w:ascii="Arial" w:hAnsi="Arial" w:cs="Arial"/>
          <w:sz w:val="24"/>
          <w:szCs w:val="24"/>
        </w:rPr>
      </w:pPr>
      <w:r w:rsidRPr="003B7B67">
        <w:rPr>
          <w:rFonts w:ascii="Arial" w:hAnsi="Arial" w:cs="Arial"/>
          <w:sz w:val="24"/>
          <w:szCs w:val="24"/>
        </w:rPr>
        <w:t xml:space="preserve">The school creates opportunities for the celebration of oracy and </w:t>
      </w:r>
      <w:r w:rsidR="003149BD" w:rsidRPr="003B7B67">
        <w:rPr>
          <w:rFonts w:ascii="Arial" w:hAnsi="Arial" w:cs="Arial"/>
          <w:sz w:val="24"/>
          <w:szCs w:val="24"/>
        </w:rPr>
        <w:t>recognition</w:t>
      </w:r>
      <w:r w:rsidRPr="003B7B67">
        <w:rPr>
          <w:rFonts w:ascii="Arial" w:hAnsi="Arial" w:cs="Arial"/>
          <w:sz w:val="24"/>
          <w:szCs w:val="24"/>
        </w:rPr>
        <w:t xml:space="preserve"> of student achievement in oracy across the school year </w:t>
      </w:r>
    </w:p>
    <w:p w:rsidR="009F6957" w:rsidRPr="003B7B67" w:rsidRDefault="003D602F" w:rsidP="003149BD">
      <w:pPr>
        <w:pStyle w:val="ListParagraph"/>
        <w:numPr>
          <w:ilvl w:val="0"/>
          <w:numId w:val="35"/>
        </w:numPr>
        <w:rPr>
          <w:rFonts w:ascii="Arial" w:hAnsi="Arial" w:cs="Arial"/>
          <w:sz w:val="24"/>
          <w:szCs w:val="24"/>
        </w:rPr>
      </w:pPr>
      <w:r w:rsidRPr="003B7B67">
        <w:rPr>
          <w:rFonts w:ascii="Arial" w:hAnsi="Arial" w:cs="Arial"/>
          <w:sz w:val="24"/>
          <w:szCs w:val="24"/>
        </w:rPr>
        <w:t xml:space="preserve">Classroom displays reinforce messages regarding good oracy </w:t>
      </w:r>
    </w:p>
    <w:p w:rsidR="003149BD" w:rsidRPr="003B7B67" w:rsidRDefault="003149BD" w:rsidP="003149BD">
      <w:pPr>
        <w:pStyle w:val="ListParagraph"/>
        <w:numPr>
          <w:ilvl w:val="0"/>
          <w:numId w:val="35"/>
        </w:numPr>
        <w:rPr>
          <w:rFonts w:ascii="Arial" w:hAnsi="Arial" w:cs="Arial"/>
          <w:sz w:val="24"/>
          <w:szCs w:val="24"/>
        </w:rPr>
      </w:pPr>
      <w:r w:rsidRPr="003B7B67">
        <w:rPr>
          <w:rFonts w:ascii="Arial" w:hAnsi="Arial" w:cs="Arial"/>
          <w:sz w:val="24"/>
          <w:szCs w:val="24"/>
        </w:rPr>
        <w:t>Teachers seek out innovative and new ways to develop oracy and/or raise standards in oracy</w:t>
      </w:r>
    </w:p>
    <w:p w:rsidR="003149BD" w:rsidRPr="003B7B67" w:rsidRDefault="003149BD" w:rsidP="003149BD">
      <w:pPr>
        <w:pStyle w:val="ListParagraph"/>
        <w:numPr>
          <w:ilvl w:val="0"/>
          <w:numId w:val="35"/>
        </w:numPr>
        <w:rPr>
          <w:rFonts w:ascii="Arial" w:hAnsi="Arial" w:cs="Arial"/>
          <w:sz w:val="24"/>
          <w:szCs w:val="24"/>
        </w:rPr>
      </w:pPr>
      <w:r w:rsidRPr="003B7B67">
        <w:rPr>
          <w:rFonts w:ascii="Arial" w:hAnsi="Arial" w:cs="Arial"/>
          <w:sz w:val="24"/>
          <w:szCs w:val="24"/>
        </w:rPr>
        <w:t xml:space="preserve">Actions and statements of key leaders (e.g., articulation of goals and principles; modelling and personal example; and decisions regarding policies, personnel, staff development, and allocation of time and other resources) are clearly supportive of oracy and the long-range survival and growth of the initiative.  </w:t>
      </w:r>
    </w:p>
    <w:p w:rsidR="006E1F5E" w:rsidRPr="00EE1E79" w:rsidRDefault="006E1F5E" w:rsidP="00EE1E79">
      <w:pPr>
        <w:rPr>
          <w:rFonts w:cs="Segoe UI Symbol"/>
          <w:sz w:val="24"/>
          <w:szCs w:val="24"/>
        </w:rPr>
      </w:pPr>
    </w:p>
    <w:sectPr w:rsidR="006E1F5E" w:rsidRPr="00EE1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AF6"/>
    <w:multiLevelType w:val="hybridMultilevel"/>
    <w:tmpl w:val="CD665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C97074"/>
    <w:multiLevelType w:val="hybridMultilevel"/>
    <w:tmpl w:val="D534A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D10EFF"/>
    <w:multiLevelType w:val="hybridMultilevel"/>
    <w:tmpl w:val="0214F3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241588"/>
    <w:multiLevelType w:val="hybridMultilevel"/>
    <w:tmpl w:val="617E960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DD37AE"/>
    <w:multiLevelType w:val="hybridMultilevel"/>
    <w:tmpl w:val="A18C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B474C"/>
    <w:multiLevelType w:val="hybridMultilevel"/>
    <w:tmpl w:val="DE1A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ECC2709"/>
    <w:multiLevelType w:val="hybridMultilevel"/>
    <w:tmpl w:val="58BC7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6E2DE2"/>
    <w:multiLevelType w:val="hybridMultilevel"/>
    <w:tmpl w:val="CC964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F75DC9"/>
    <w:multiLevelType w:val="hybridMultilevel"/>
    <w:tmpl w:val="6C8C92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A61987"/>
    <w:multiLevelType w:val="hybridMultilevel"/>
    <w:tmpl w:val="18A27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F575346"/>
    <w:multiLevelType w:val="hybridMultilevel"/>
    <w:tmpl w:val="D7962E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6E0AC5"/>
    <w:multiLevelType w:val="hybridMultilevel"/>
    <w:tmpl w:val="C6D2E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65A679F"/>
    <w:multiLevelType w:val="hybridMultilevel"/>
    <w:tmpl w:val="FFEE0A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93C66B9"/>
    <w:multiLevelType w:val="hybridMultilevel"/>
    <w:tmpl w:val="1B1EC9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AC25668"/>
    <w:multiLevelType w:val="hybridMultilevel"/>
    <w:tmpl w:val="529A49F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E074FFC"/>
    <w:multiLevelType w:val="hybridMultilevel"/>
    <w:tmpl w:val="34A4C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9B75FF"/>
    <w:multiLevelType w:val="hybridMultilevel"/>
    <w:tmpl w:val="F37EA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2CF3AC1"/>
    <w:multiLevelType w:val="hybridMultilevel"/>
    <w:tmpl w:val="CA026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EA4B99"/>
    <w:multiLevelType w:val="hybridMultilevel"/>
    <w:tmpl w:val="E60E30A4"/>
    <w:lvl w:ilvl="0" w:tplc="75666E72">
      <w:start w:val="1"/>
      <w:numFmt w:val="bullet"/>
      <w:lvlText w:val="•"/>
      <w:lvlJc w:val="left"/>
      <w:pPr>
        <w:tabs>
          <w:tab w:val="num" w:pos="720"/>
        </w:tabs>
        <w:ind w:left="720" w:hanging="360"/>
      </w:pPr>
      <w:rPr>
        <w:rFonts w:ascii="Arial" w:hAnsi="Arial" w:hint="default"/>
      </w:rPr>
    </w:lvl>
    <w:lvl w:ilvl="1" w:tplc="AAE45BD0" w:tentative="1">
      <w:start w:val="1"/>
      <w:numFmt w:val="bullet"/>
      <w:lvlText w:val="•"/>
      <w:lvlJc w:val="left"/>
      <w:pPr>
        <w:tabs>
          <w:tab w:val="num" w:pos="1440"/>
        </w:tabs>
        <w:ind w:left="1440" w:hanging="360"/>
      </w:pPr>
      <w:rPr>
        <w:rFonts w:ascii="Arial" w:hAnsi="Arial" w:hint="default"/>
      </w:rPr>
    </w:lvl>
    <w:lvl w:ilvl="2" w:tplc="9F561346" w:tentative="1">
      <w:start w:val="1"/>
      <w:numFmt w:val="bullet"/>
      <w:lvlText w:val="•"/>
      <w:lvlJc w:val="left"/>
      <w:pPr>
        <w:tabs>
          <w:tab w:val="num" w:pos="2160"/>
        </w:tabs>
        <w:ind w:left="2160" w:hanging="360"/>
      </w:pPr>
      <w:rPr>
        <w:rFonts w:ascii="Arial" w:hAnsi="Arial" w:hint="default"/>
      </w:rPr>
    </w:lvl>
    <w:lvl w:ilvl="3" w:tplc="C346DEC6" w:tentative="1">
      <w:start w:val="1"/>
      <w:numFmt w:val="bullet"/>
      <w:lvlText w:val="•"/>
      <w:lvlJc w:val="left"/>
      <w:pPr>
        <w:tabs>
          <w:tab w:val="num" w:pos="2880"/>
        </w:tabs>
        <w:ind w:left="2880" w:hanging="360"/>
      </w:pPr>
      <w:rPr>
        <w:rFonts w:ascii="Arial" w:hAnsi="Arial" w:hint="default"/>
      </w:rPr>
    </w:lvl>
    <w:lvl w:ilvl="4" w:tplc="06C65B26" w:tentative="1">
      <w:start w:val="1"/>
      <w:numFmt w:val="bullet"/>
      <w:lvlText w:val="•"/>
      <w:lvlJc w:val="left"/>
      <w:pPr>
        <w:tabs>
          <w:tab w:val="num" w:pos="3600"/>
        </w:tabs>
        <w:ind w:left="3600" w:hanging="360"/>
      </w:pPr>
      <w:rPr>
        <w:rFonts w:ascii="Arial" w:hAnsi="Arial" w:hint="default"/>
      </w:rPr>
    </w:lvl>
    <w:lvl w:ilvl="5" w:tplc="3836EE80" w:tentative="1">
      <w:start w:val="1"/>
      <w:numFmt w:val="bullet"/>
      <w:lvlText w:val="•"/>
      <w:lvlJc w:val="left"/>
      <w:pPr>
        <w:tabs>
          <w:tab w:val="num" w:pos="4320"/>
        </w:tabs>
        <w:ind w:left="4320" w:hanging="360"/>
      </w:pPr>
      <w:rPr>
        <w:rFonts w:ascii="Arial" w:hAnsi="Arial" w:hint="default"/>
      </w:rPr>
    </w:lvl>
    <w:lvl w:ilvl="6" w:tplc="3AEE44EA" w:tentative="1">
      <w:start w:val="1"/>
      <w:numFmt w:val="bullet"/>
      <w:lvlText w:val="•"/>
      <w:lvlJc w:val="left"/>
      <w:pPr>
        <w:tabs>
          <w:tab w:val="num" w:pos="5040"/>
        </w:tabs>
        <w:ind w:left="5040" w:hanging="360"/>
      </w:pPr>
      <w:rPr>
        <w:rFonts w:ascii="Arial" w:hAnsi="Arial" w:hint="default"/>
      </w:rPr>
    </w:lvl>
    <w:lvl w:ilvl="7" w:tplc="3D5C6E04" w:tentative="1">
      <w:start w:val="1"/>
      <w:numFmt w:val="bullet"/>
      <w:lvlText w:val="•"/>
      <w:lvlJc w:val="left"/>
      <w:pPr>
        <w:tabs>
          <w:tab w:val="num" w:pos="5760"/>
        </w:tabs>
        <w:ind w:left="5760" w:hanging="360"/>
      </w:pPr>
      <w:rPr>
        <w:rFonts w:ascii="Arial" w:hAnsi="Arial" w:hint="default"/>
      </w:rPr>
    </w:lvl>
    <w:lvl w:ilvl="8" w:tplc="FDE03FBE" w:tentative="1">
      <w:start w:val="1"/>
      <w:numFmt w:val="bullet"/>
      <w:lvlText w:val="•"/>
      <w:lvlJc w:val="left"/>
      <w:pPr>
        <w:tabs>
          <w:tab w:val="num" w:pos="6480"/>
        </w:tabs>
        <w:ind w:left="6480" w:hanging="360"/>
      </w:pPr>
      <w:rPr>
        <w:rFonts w:ascii="Arial" w:hAnsi="Arial" w:hint="default"/>
      </w:rPr>
    </w:lvl>
  </w:abstractNum>
  <w:abstractNum w:abstractNumId="19">
    <w:nsid w:val="4DF028C3"/>
    <w:multiLevelType w:val="hybridMultilevel"/>
    <w:tmpl w:val="D4C416F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71D4AD4"/>
    <w:multiLevelType w:val="hybridMultilevel"/>
    <w:tmpl w:val="C0B6BEA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AEF3950"/>
    <w:multiLevelType w:val="hybridMultilevel"/>
    <w:tmpl w:val="E9EA3CF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C3409A0"/>
    <w:multiLevelType w:val="hybridMultilevel"/>
    <w:tmpl w:val="43BA91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C45047E"/>
    <w:multiLevelType w:val="hybridMultilevel"/>
    <w:tmpl w:val="11C86130"/>
    <w:lvl w:ilvl="0" w:tplc="AAC2550C">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D214713"/>
    <w:multiLevelType w:val="hybridMultilevel"/>
    <w:tmpl w:val="EEAA8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D313702"/>
    <w:multiLevelType w:val="hybridMultilevel"/>
    <w:tmpl w:val="11404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F893119"/>
    <w:multiLevelType w:val="hybridMultilevel"/>
    <w:tmpl w:val="9D1CE34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0900E45"/>
    <w:multiLevelType w:val="hybridMultilevel"/>
    <w:tmpl w:val="E6E46E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17E500D"/>
    <w:multiLevelType w:val="hybridMultilevel"/>
    <w:tmpl w:val="B2BC49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29227C2"/>
    <w:multiLevelType w:val="hybridMultilevel"/>
    <w:tmpl w:val="DC984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7564A7"/>
    <w:multiLevelType w:val="hybridMultilevel"/>
    <w:tmpl w:val="28C0D0B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7BE76DB"/>
    <w:multiLevelType w:val="hybridMultilevel"/>
    <w:tmpl w:val="23E0C1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005277"/>
    <w:multiLevelType w:val="hybridMultilevel"/>
    <w:tmpl w:val="E6E46E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B565AD5"/>
    <w:multiLevelType w:val="hybridMultilevel"/>
    <w:tmpl w:val="CA56E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D601CD1"/>
    <w:multiLevelType w:val="hybridMultilevel"/>
    <w:tmpl w:val="2E862F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D964A42"/>
    <w:multiLevelType w:val="hybridMultilevel"/>
    <w:tmpl w:val="5D7230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F890436"/>
    <w:multiLevelType w:val="hybridMultilevel"/>
    <w:tmpl w:val="51FA5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22"/>
  </w:num>
  <w:num w:numId="4">
    <w:abstractNumId w:val="34"/>
  </w:num>
  <w:num w:numId="5">
    <w:abstractNumId w:val="35"/>
  </w:num>
  <w:num w:numId="6">
    <w:abstractNumId w:val="23"/>
  </w:num>
  <w:num w:numId="7">
    <w:abstractNumId w:val="17"/>
  </w:num>
  <w:num w:numId="8">
    <w:abstractNumId w:val="25"/>
  </w:num>
  <w:num w:numId="9">
    <w:abstractNumId w:val="4"/>
  </w:num>
  <w:num w:numId="10">
    <w:abstractNumId w:val="8"/>
  </w:num>
  <w:num w:numId="11">
    <w:abstractNumId w:val="29"/>
  </w:num>
  <w:num w:numId="12">
    <w:abstractNumId w:val="15"/>
  </w:num>
  <w:num w:numId="13">
    <w:abstractNumId w:val="1"/>
  </w:num>
  <w:num w:numId="14">
    <w:abstractNumId w:val="7"/>
  </w:num>
  <w:num w:numId="15">
    <w:abstractNumId w:val="6"/>
  </w:num>
  <w:num w:numId="16">
    <w:abstractNumId w:val="11"/>
  </w:num>
  <w:num w:numId="17">
    <w:abstractNumId w:val="16"/>
  </w:num>
  <w:num w:numId="18">
    <w:abstractNumId w:val="24"/>
  </w:num>
  <w:num w:numId="19">
    <w:abstractNumId w:val="0"/>
  </w:num>
  <w:num w:numId="20">
    <w:abstractNumId w:val="33"/>
  </w:num>
  <w:num w:numId="21">
    <w:abstractNumId w:val="9"/>
  </w:num>
  <w:num w:numId="22">
    <w:abstractNumId w:val="31"/>
  </w:num>
  <w:num w:numId="23">
    <w:abstractNumId w:val="5"/>
  </w:num>
  <w:num w:numId="24">
    <w:abstractNumId w:val="2"/>
  </w:num>
  <w:num w:numId="25">
    <w:abstractNumId w:val="32"/>
  </w:num>
  <w:num w:numId="26">
    <w:abstractNumId w:val="28"/>
  </w:num>
  <w:num w:numId="27">
    <w:abstractNumId w:val="27"/>
  </w:num>
  <w:num w:numId="28">
    <w:abstractNumId w:val="30"/>
  </w:num>
  <w:num w:numId="29">
    <w:abstractNumId w:val="14"/>
  </w:num>
  <w:num w:numId="30">
    <w:abstractNumId w:val="12"/>
  </w:num>
  <w:num w:numId="31">
    <w:abstractNumId w:val="3"/>
  </w:num>
  <w:num w:numId="32">
    <w:abstractNumId w:val="19"/>
  </w:num>
  <w:num w:numId="33">
    <w:abstractNumId w:val="26"/>
  </w:num>
  <w:num w:numId="34">
    <w:abstractNumId w:val="21"/>
  </w:num>
  <w:num w:numId="35">
    <w:abstractNumId w:val="20"/>
  </w:num>
  <w:num w:numId="36">
    <w:abstractNumId w:val="3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F6"/>
    <w:rsid w:val="001307BE"/>
    <w:rsid w:val="001523EB"/>
    <w:rsid w:val="00171F1A"/>
    <w:rsid w:val="00184920"/>
    <w:rsid w:val="00214047"/>
    <w:rsid w:val="00232FC5"/>
    <w:rsid w:val="002406A9"/>
    <w:rsid w:val="002742C2"/>
    <w:rsid w:val="003149BD"/>
    <w:rsid w:val="00344D03"/>
    <w:rsid w:val="003569CF"/>
    <w:rsid w:val="003B7B67"/>
    <w:rsid w:val="003D602F"/>
    <w:rsid w:val="003E7F9F"/>
    <w:rsid w:val="006D2121"/>
    <w:rsid w:val="006E1F5E"/>
    <w:rsid w:val="00707B70"/>
    <w:rsid w:val="008364D4"/>
    <w:rsid w:val="008B0C71"/>
    <w:rsid w:val="008E608D"/>
    <w:rsid w:val="00915E30"/>
    <w:rsid w:val="00962204"/>
    <w:rsid w:val="00964A47"/>
    <w:rsid w:val="009F6957"/>
    <w:rsid w:val="00CD28C3"/>
    <w:rsid w:val="00CE30F6"/>
    <w:rsid w:val="00D02F9D"/>
    <w:rsid w:val="00EE1E79"/>
    <w:rsid w:val="00FC281B"/>
    <w:rsid w:val="00FC4BD0"/>
    <w:rsid w:val="00FD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0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15E30"/>
    <w:pPr>
      <w:ind w:left="720"/>
      <w:contextualSpacing/>
    </w:pPr>
  </w:style>
  <w:style w:type="table" w:styleId="TableGrid">
    <w:name w:val="Table Grid"/>
    <w:basedOn w:val="TableNormal"/>
    <w:uiPriority w:val="39"/>
    <w:rsid w:val="00FC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2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0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15E30"/>
    <w:pPr>
      <w:ind w:left="720"/>
      <w:contextualSpacing/>
    </w:pPr>
  </w:style>
  <w:style w:type="table" w:styleId="TableGrid">
    <w:name w:val="Table Grid"/>
    <w:basedOn w:val="TableNormal"/>
    <w:uiPriority w:val="39"/>
    <w:rsid w:val="00FC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2018">
      <w:bodyDiv w:val="1"/>
      <w:marLeft w:val="0"/>
      <w:marRight w:val="0"/>
      <w:marTop w:val="0"/>
      <w:marBottom w:val="0"/>
      <w:divBdr>
        <w:top w:val="none" w:sz="0" w:space="0" w:color="auto"/>
        <w:left w:val="none" w:sz="0" w:space="0" w:color="auto"/>
        <w:bottom w:val="none" w:sz="0" w:space="0" w:color="auto"/>
        <w:right w:val="none" w:sz="0" w:space="0" w:color="auto"/>
      </w:divBdr>
      <w:divsChild>
        <w:div w:id="2064331780">
          <w:marLeft w:val="360"/>
          <w:marRight w:val="0"/>
          <w:marTop w:val="200"/>
          <w:marBottom w:val="0"/>
          <w:divBdr>
            <w:top w:val="none" w:sz="0" w:space="0" w:color="auto"/>
            <w:left w:val="none" w:sz="0" w:space="0" w:color="auto"/>
            <w:bottom w:val="none" w:sz="0" w:space="0" w:color="auto"/>
            <w:right w:val="none" w:sz="0" w:space="0" w:color="auto"/>
          </w:divBdr>
        </w:div>
        <w:div w:id="286476157">
          <w:marLeft w:val="360"/>
          <w:marRight w:val="0"/>
          <w:marTop w:val="200"/>
          <w:marBottom w:val="0"/>
          <w:divBdr>
            <w:top w:val="none" w:sz="0" w:space="0" w:color="auto"/>
            <w:left w:val="none" w:sz="0" w:space="0" w:color="auto"/>
            <w:bottom w:val="none" w:sz="0" w:space="0" w:color="auto"/>
            <w:right w:val="none" w:sz="0" w:space="0" w:color="auto"/>
          </w:divBdr>
        </w:div>
        <w:div w:id="471600901">
          <w:marLeft w:val="360"/>
          <w:marRight w:val="0"/>
          <w:marTop w:val="200"/>
          <w:marBottom w:val="0"/>
          <w:divBdr>
            <w:top w:val="none" w:sz="0" w:space="0" w:color="auto"/>
            <w:left w:val="none" w:sz="0" w:space="0" w:color="auto"/>
            <w:bottom w:val="none" w:sz="0" w:space="0" w:color="auto"/>
            <w:right w:val="none" w:sz="0" w:space="0" w:color="auto"/>
          </w:divBdr>
        </w:div>
        <w:div w:id="1773276790">
          <w:marLeft w:val="360"/>
          <w:marRight w:val="0"/>
          <w:marTop w:val="200"/>
          <w:marBottom w:val="0"/>
          <w:divBdr>
            <w:top w:val="none" w:sz="0" w:space="0" w:color="auto"/>
            <w:left w:val="none" w:sz="0" w:space="0" w:color="auto"/>
            <w:bottom w:val="none" w:sz="0" w:space="0" w:color="auto"/>
            <w:right w:val="none" w:sz="0" w:space="0" w:color="auto"/>
          </w:divBdr>
        </w:div>
        <w:div w:id="1947732044">
          <w:marLeft w:val="360"/>
          <w:marRight w:val="0"/>
          <w:marTop w:val="200"/>
          <w:marBottom w:val="0"/>
          <w:divBdr>
            <w:top w:val="none" w:sz="0" w:space="0" w:color="auto"/>
            <w:left w:val="none" w:sz="0" w:space="0" w:color="auto"/>
            <w:bottom w:val="none" w:sz="0" w:space="0" w:color="auto"/>
            <w:right w:val="none" w:sz="0" w:space="0" w:color="auto"/>
          </w:divBdr>
        </w:div>
        <w:div w:id="2038968529">
          <w:marLeft w:val="360"/>
          <w:marRight w:val="0"/>
          <w:marTop w:val="200"/>
          <w:marBottom w:val="0"/>
          <w:divBdr>
            <w:top w:val="none" w:sz="0" w:space="0" w:color="auto"/>
            <w:left w:val="none" w:sz="0" w:space="0" w:color="auto"/>
            <w:bottom w:val="none" w:sz="0" w:space="0" w:color="auto"/>
            <w:right w:val="none" w:sz="0" w:space="0" w:color="auto"/>
          </w:divBdr>
        </w:div>
        <w:div w:id="640617541">
          <w:marLeft w:val="360"/>
          <w:marRight w:val="0"/>
          <w:marTop w:val="200"/>
          <w:marBottom w:val="0"/>
          <w:divBdr>
            <w:top w:val="none" w:sz="0" w:space="0" w:color="auto"/>
            <w:left w:val="none" w:sz="0" w:space="0" w:color="auto"/>
            <w:bottom w:val="none" w:sz="0" w:space="0" w:color="auto"/>
            <w:right w:val="none" w:sz="0" w:space="0" w:color="auto"/>
          </w:divBdr>
        </w:div>
        <w:div w:id="1924683101">
          <w:marLeft w:val="360"/>
          <w:marRight w:val="0"/>
          <w:marTop w:val="200"/>
          <w:marBottom w:val="0"/>
          <w:divBdr>
            <w:top w:val="none" w:sz="0" w:space="0" w:color="auto"/>
            <w:left w:val="none" w:sz="0" w:space="0" w:color="auto"/>
            <w:bottom w:val="none" w:sz="0" w:space="0" w:color="auto"/>
            <w:right w:val="none" w:sz="0" w:space="0" w:color="auto"/>
          </w:divBdr>
        </w:div>
        <w:div w:id="6443602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2487-2465-4404-BB77-46CEAB7E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Cardiff County Council</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Beccy Earnshaw</dc:creator>
  <cp:lastModifiedBy>Headteacher</cp:lastModifiedBy>
  <cp:revision>2</cp:revision>
  <cp:lastPrinted>2016-07-04T17:23:00Z</cp:lastPrinted>
  <dcterms:created xsi:type="dcterms:W3CDTF">2019-03-26T12:33:00Z</dcterms:created>
  <dcterms:modified xsi:type="dcterms:W3CDTF">2019-03-26T12:33:00Z</dcterms:modified>
</cp:coreProperties>
</file>